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AEEA9">
      <w:pPr>
        <w:spacing w:afterLines="50" w:line="600" w:lineRule="exact"/>
        <w:jc w:val="center"/>
        <w:rPr>
          <w:rFonts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4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190"/>
        <w:gridCol w:w="287"/>
        <w:gridCol w:w="283"/>
        <w:gridCol w:w="421"/>
        <w:gridCol w:w="146"/>
        <w:gridCol w:w="146"/>
        <w:gridCol w:w="511"/>
        <w:gridCol w:w="196"/>
        <w:gridCol w:w="679"/>
        <w:gridCol w:w="313"/>
        <w:gridCol w:w="843"/>
        <w:gridCol w:w="714"/>
      </w:tblGrid>
      <w:tr w14:paraId="6682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1444" w:type="dxa"/>
            <w:gridSpan w:val="3"/>
            <w:vAlign w:val="center"/>
          </w:tcPr>
          <w:p w14:paraId="4238BA97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648" w:type="dxa"/>
            <w:gridSpan w:val="9"/>
            <w:vAlign w:val="center"/>
          </w:tcPr>
          <w:p w14:paraId="1A3F87CE">
            <w:pPr>
              <w:spacing w:line="300" w:lineRule="exac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仿宋" w:hAnsi="仿宋" w:eastAsia="仿宋" w:cs="华文中宋"/>
                <w:bCs/>
                <w:color w:val="000000"/>
                <w:sz w:val="21"/>
                <w:szCs w:val="21"/>
                <w:shd w:val="clear" w:color="auto" w:fill="FFFFFF"/>
              </w:rPr>
              <w:t>国宝严选地</w:t>
            </w:r>
            <w:r>
              <w:rPr>
                <w:rFonts w:ascii="仿宋" w:hAnsi="仿宋" w:eastAsia="仿宋" w:cs="华文中宋"/>
                <w:bCs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仿宋" w:hAnsi="仿宋" w:eastAsia="仿宋" w:cs="华文中宋"/>
                <w:bCs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 w:cs="华文中宋"/>
                <w:bCs/>
                <w:color w:val="000000"/>
                <w:sz w:val="21"/>
                <w:szCs w:val="21"/>
                <w:shd w:val="clear" w:color="auto" w:fill="FFFFFF"/>
              </w:rPr>
              <w:t>风景变“丰”景</w:t>
            </w:r>
          </w:p>
        </w:tc>
        <w:tc>
          <w:tcPr>
            <w:tcW w:w="1794" w:type="dxa"/>
            <w:gridSpan w:val="6"/>
            <w:vAlign w:val="center"/>
          </w:tcPr>
          <w:p w14:paraId="544AD44A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  <w:p w14:paraId="7C26E239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（刊发形式）</w:t>
            </w:r>
          </w:p>
        </w:tc>
        <w:tc>
          <w:tcPr>
            <w:tcW w:w="2745" w:type="dxa"/>
            <w:gridSpan w:val="5"/>
            <w:vAlign w:val="center"/>
          </w:tcPr>
          <w:p w14:paraId="68BF0B8E">
            <w:pPr>
              <w:spacing w:line="3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重大主题报道（报刊）</w:t>
            </w:r>
          </w:p>
        </w:tc>
      </w:tr>
      <w:tr w14:paraId="4F41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44" w:type="dxa"/>
            <w:gridSpan w:val="3"/>
            <w:vAlign w:val="center"/>
          </w:tcPr>
          <w:p w14:paraId="5ACCE80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</w:t>
            </w:r>
            <w:r>
              <w:rPr>
                <w:rFonts w:ascii="华文中宋" w:hAnsi="华文中宋" w:eastAsia="华文中宋"/>
                <w:color w:val="000000"/>
                <w:sz w:val="24"/>
              </w:rPr>
              <w:t>/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时长</w:t>
            </w:r>
          </w:p>
        </w:tc>
        <w:tc>
          <w:tcPr>
            <w:tcW w:w="3648" w:type="dxa"/>
            <w:gridSpan w:val="9"/>
            <w:vAlign w:val="center"/>
          </w:tcPr>
          <w:p w14:paraId="4D16761D">
            <w:pPr>
              <w:spacing w:line="300" w:lineRule="exact"/>
              <w:rPr>
                <w:rFonts w:hint="eastAsia" w:ascii="华文中宋" w:hAnsi="华文中宋" w:eastAsia="仿宋"/>
                <w:color w:val="000000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2310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字</w:t>
            </w:r>
          </w:p>
        </w:tc>
        <w:tc>
          <w:tcPr>
            <w:tcW w:w="1137" w:type="dxa"/>
            <w:gridSpan w:val="4"/>
            <w:vAlign w:val="center"/>
          </w:tcPr>
          <w:p w14:paraId="5D5CCE2E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71AC9893">
            <w:pPr>
              <w:spacing w:line="300" w:lineRule="exact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通讯</w:t>
            </w:r>
          </w:p>
        </w:tc>
      </w:tr>
      <w:tr w14:paraId="6C45A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44" w:type="dxa"/>
            <w:gridSpan w:val="3"/>
            <w:vAlign w:val="center"/>
          </w:tcPr>
          <w:p w14:paraId="60A8EFF8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</w:t>
            </w:r>
            <w:r>
              <w:rPr>
                <w:rFonts w:ascii="华文中宋" w:hAnsi="华文中宋" w:eastAsia="华文中宋"/>
                <w:color w:val="000000"/>
                <w:spacing w:val="-12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者</w:t>
            </w:r>
          </w:p>
          <w:p w14:paraId="4FB501C0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5B4BBBAF">
            <w:pPr>
              <w:spacing w:line="300" w:lineRule="exact"/>
              <w:rPr>
                <w:rFonts w:ascii="仿宋_GB2312" w:hAnsi="华文中宋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陈文革、张俊娟、周乐丰</w:t>
            </w:r>
          </w:p>
        </w:tc>
        <w:tc>
          <w:tcPr>
            <w:tcW w:w="996" w:type="dxa"/>
            <w:gridSpan w:val="4"/>
            <w:vAlign w:val="center"/>
          </w:tcPr>
          <w:p w14:paraId="54C6C3C7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28E7B585">
            <w:pPr>
              <w:spacing w:line="300" w:lineRule="exact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郑睦华、王冬梅、蔡江曼</w:t>
            </w:r>
          </w:p>
        </w:tc>
      </w:tr>
      <w:tr w14:paraId="08443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44" w:type="dxa"/>
            <w:gridSpan w:val="3"/>
            <w:vAlign w:val="center"/>
          </w:tcPr>
          <w:p w14:paraId="2B6A964C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34CF5341">
            <w:pPr>
              <w:spacing w:line="3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鹰潭市融媒体中心</w:t>
            </w:r>
          </w:p>
        </w:tc>
        <w:tc>
          <w:tcPr>
            <w:tcW w:w="1962" w:type="dxa"/>
            <w:gridSpan w:val="6"/>
            <w:vAlign w:val="center"/>
          </w:tcPr>
          <w:p w14:paraId="0867A2E3">
            <w:pPr>
              <w:spacing w:line="30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发布端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账号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/</w:t>
            </w:r>
          </w:p>
          <w:p w14:paraId="52D5DF1B">
            <w:pPr>
              <w:spacing w:line="300" w:lineRule="exact"/>
              <w:rPr>
                <w:rFonts w:ascii="仿宋_GB2312" w:hAnsi="仿宋" w:eastAsia="仿宋_GB2312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548" w:type="dxa"/>
            <w:gridSpan w:val="8"/>
            <w:vAlign w:val="center"/>
          </w:tcPr>
          <w:p w14:paraId="7C808493">
            <w:pPr>
              <w:spacing w:line="300" w:lineRule="exact"/>
              <w:rPr>
                <w:rFonts w:ascii="仿宋_GB2312" w:hAnsi="仿宋" w:eastAsia="仿宋_GB2312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鹰潭日报</w:t>
            </w:r>
          </w:p>
        </w:tc>
      </w:tr>
      <w:tr w14:paraId="5AE9E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268" w:type="dxa"/>
            <w:gridSpan w:val="6"/>
            <w:vAlign w:val="center"/>
          </w:tcPr>
          <w:p w14:paraId="6388F138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刊播栏目或版面</w:t>
            </w:r>
          </w:p>
        </w:tc>
        <w:tc>
          <w:tcPr>
            <w:tcW w:w="4107" w:type="dxa"/>
            <w:gridSpan w:val="11"/>
            <w:vAlign w:val="center"/>
          </w:tcPr>
          <w:p w14:paraId="3BA48B61">
            <w:pPr>
              <w:spacing w:line="3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一版</w:t>
            </w:r>
          </w:p>
        </w:tc>
        <w:tc>
          <w:tcPr>
            <w:tcW w:w="1386" w:type="dxa"/>
            <w:gridSpan w:val="3"/>
            <w:vAlign w:val="center"/>
          </w:tcPr>
          <w:p w14:paraId="0F6D74A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1870" w:type="dxa"/>
            <w:gridSpan w:val="3"/>
            <w:vAlign w:val="center"/>
          </w:tcPr>
          <w:p w14:paraId="3E196696">
            <w:pPr>
              <w:spacing w:line="3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2025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年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12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月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19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日</w:t>
            </w:r>
          </w:p>
        </w:tc>
      </w:tr>
      <w:tr w14:paraId="0C86E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444" w:type="dxa"/>
            <w:gridSpan w:val="3"/>
            <w:vAlign w:val="center"/>
          </w:tcPr>
          <w:p w14:paraId="25D3AFE0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新媒体作品网址</w:t>
            </w:r>
          </w:p>
        </w:tc>
        <w:tc>
          <w:tcPr>
            <w:tcW w:w="4639" w:type="dxa"/>
            <w:gridSpan w:val="12"/>
            <w:vAlign w:val="center"/>
          </w:tcPr>
          <w:p w14:paraId="1CD3DE49">
            <w:pPr>
              <w:spacing w:line="30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2834" w:type="dxa"/>
            <w:gridSpan w:val="7"/>
            <w:vAlign w:val="center"/>
          </w:tcPr>
          <w:p w14:paraId="6F434FAE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4F376F3E">
            <w:pPr>
              <w:spacing w:line="3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否</w:t>
            </w:r>
          </w:p>
        </w:tc>
      </w:tr>
      <w:tr w14:paraId="467C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6" w:hRule="atLeast"/>
          <w:jc w:val="center"/>
        </w:trPr>
        <w:tc>
          <w:tcPr>
            <w:tcW w:w="989" w:type="dxa"/>
            <w:gridSpan w:val="2"/>
            <w:vAlign w:val="center"/>
          </w:tcPr>
          <w:p w14:paraId="72FAAF4F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︵</w:t>
            </w:r>
          </w:p>
          <w:p w14:paraId="2C27A78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2DC80F33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925AAE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760C889F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4A04F61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︶</w:t>
            </w:r>
          </w:p>
        </w:tc>
        <w:tc>
          <w:tcPr>
            <w:tcW w:w="8642" w:type="dxa"/>
            <w:gridSpan w:val="21"/>
            <w:vAlign w:val="center"/>
          </w:tcPr>
          <w:p w14:paraId="1F0DD5D0">
            <w:pPr>
              <w:spacing w:line="300" w:lineRule="exact"/>
              <w:ind w:firstLine="416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今年是习近平总书记提出“绿水青山就是金山银山”理念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周年。作品以世界自然遗产地鹰潭龙虎山为观察样本，记者多年来持续跟踪采访，在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年这个重要节点，通过当地连续十九年守护“水中大熊猫”中华秋沙鸭越冬、成功引入并野化“东方宝石”朱鹮两大核心叙事，生动展现了一个区域生态环境的历史性蝶变。报道以“国宝”鸟类对栖息地的极致挑剔为镜，巧妙映照出当地在水质治理、森林保护、生物多样性恢复等方面的系统性努力与卓越成效。同时，深入挖掘“绿水青山”向“金山银山”的转化路径，通过生态农业、森林康养、科普研学、乡村旅游等蓬勃发展的现实案例，清晰揭示了保护与发展相辅相成、人与自然和谐共生的内在逻辑。</w:t>
            </w:r>
          </w:p>
        </w:tc>
      </w:tr>
      <w:tr w14:paraId="3F3EB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exact"/>
          <w:jc w:val="center"/>
        </w:trPr>
        <w:tc>
          <w:tcPr>
            <w:tcW w:w="989" w:type="dxa"/>
            <w:gridSpan w:val="2"/>
            <w:vAlign w:val="center"/>
          </w:tcPr>
          <w:p w14:paraId="541F7D3A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7868ED7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60FCC075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0192ADAE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4C3FC676">
            <w:pPr>
              <w:spacing w:line="300" w:lineRule="exact"/>
              <w:ind w:firstLine="416" w:firstLineChars="200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作品通过具体案例，为各地践行“两山”理念、推进生态文明建设提供了可复制、可借鉴的“龙虎山样本”。作品刊发后，在多个新媒体平台被推送，有效提升了公众对生物多样性保护和绿色发展模式的关注与认同。</w:t>
            </w:r>
          </w:p>
        </w:tc>
      </w:tr>
      <w:tr w14:paraId="6195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707" w:type="dxa"/>
            <w:vMerge w:val="restart"/>
            <w:vAlign w:val="center"/>
          </w:tcPr>
          <w:p w14:paraId="2827C805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E037F9A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1C0D840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A7AF4E9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vAlign w:val="center"/>
          </w:tcPr>
          <w:p w14:paraId="1B180AF0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426" w:type="dxa"/>
            <w:vAlign w:val="center"/>
          </w:tcPr>
          <w:p w14:paraId="40BE6B4D">
            <w:pPr>
              <w:spacing w:line="300" w:lineRule="exac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10" w:type="dxa"/>
            <w:gridSpan w:val="18"/>
            <w:vAlign w:val="center"/>
          </w:tcPr>
          <w:p w14:paraId="77F9F50C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https://mp.weixin.qq.com/s/1pPw6cll6jYZt__UgKONUg</w:t>
            </w:r>
          </w:p>
        </w:tc>
      </w:tr>
      <w:tr w14:paraId="6FAB1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707" w:type="dxa"/>
            <w:vMerge w:val="continue"/>
            <w:vAlign w:val="center"/>
          </w:tcPr>
          <w:p w14:paraId="6BEE9EDE">
            <w:pPr>
              <w:widowControl/>
              <w:spacing w:line="30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vAlign w:val="center"/>
          </w:tcPr>
          <w:p w14:paraId="4F88C1FA">
            <w:pPr>
              <w:widowControl/>
              <w:spacing w:line="300" w:lineRule="exact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7B8F33A">
            <w:pPr>
              <w:spacing w:line="300" w:lineRule="exac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10" w:type="dxa"/>
            <w:gridSpan w:val="18"/>
            <w:vAlign w:val="center"/>
          </w:tcPr>
          <w:p w14:paraId="573DF4EB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https://mp.weixin.qq.com/s/QMc83mXWL76dJZKC9JfOug</w:t>
            </w:r>
          </w:p>
        </w:tc>
      </w:tr>
      <w:tr w14:paraId="468FA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707" w:type="dxa"/>
            <w:vMerge w:val="continue"/>
            <w:vAlign w:val="center"/>
          </w:tcPr>
          <w:p w14:paraId="28370EBD">
            <w:pPr>
              <w:widowControl/>
              <w:spacing w:line="30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vAlign w:val="center"/>
          </w:tcPr>
          <w:p w14:paraId="7FF1E44B">
            <w:pPr>
              <w:widowControl/>
              <w:spacing w:line="300" w:lineRule="exact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EEFB335">
            <w:pPr>
              <w:spacing w:line="300" w:lineRule="exac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510" w:type="dxa"/>
            <w:gridSpan w:val="18"/>
            <w:vAlign w:val="center"/>
          </w:tcPr>
          <w:p w14:paraId="2D2F52B7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6C3BD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  <w:jc w:val="center"/>
        </w:trPr>
        <w:tc>
          <w:tcPr>
            <w:tcW w:w="707" w:type="dxa"/>
            <w:vMerge w:val="continue"/>
            <w:vAlign w:val="center"/>
          </w:tcPr>
          <w:p w14:paraId="274CC0A6">
            <w:pPr>
              <w:widowControl/>
              <w:spacing w:line="30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6"/>
            <w:vAlign w:val="center"/>
          </w:tcPr>
          <w:p w14:paraId="0A5D5A1E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3"/>
            <w:vAlign w:val="center"/>
          </w:tcPr>
          <w:p w14:paraId="6D4D813C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+</w:t>
            </w:r>
          </w:p>
        </w:tc>
        <w:tc>
          <w:tcPr>
            <w:tcW w:w="992" w:type="dxa"/>
            <w:gridSpan w:val="4"/>
            <w:vAlign w:val="center"/>
          </w:tcPr>
          <w:p w14:paraId="5997EB3F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420" w:type="dxa"/>
            <w:gridSpan w:val="5"/>
            <w:vAlign w:val="center"/>
          </w:tcPr>
          <w:p w14:paraId="1B2BBC78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992" w:type="dxa"/>
            <w:gridSpan w:val="2"/>
            <w:vAlign w:val="center"/>
          </w:tcPr>
          <w:p w14:paraId="6B73DB2F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gridSpan w:val="2"/>
            <w:vAlign w:val="center"/>
          </w:tcPr>
          <w:p w14:paraId="71222BD0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310</w:t>
            </w:r>
          </w:p>
        </w:tc>
      </w:tr>
      <w:tr w14:paraId="33F11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exact"/>
          <w:jc w:val="center"/>
        </w:trPr>
        <w:tc>
          <w:tcPr>
            <w:tcW w:w="1444" w:type="dxa"/>
            <w:gridSpan w:val="3"/>
            <w:vAlign w:val="center"/>
          </w:tcPr>
          <w:p w14:paraId="368FE310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推荐理由</w:t>
            </w:r>
          </w:p>
        </w:tc>
        <w:tc>
          <w:tcPr>
            <w:tcW w:w="8187" w:type="dxa"/>
            <w:gridSpan w:val="20"/>
            <w:vAlign w:val="center"/>
          </w:tcPr>
          <w:p w14:paraId="1CF1A7F8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作品紧扣习近平总书记提出“绿水青山就是金山银山”理念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周年的重大时间节点，通过龙虎山这一具体的“窗口”，报道了生态保护的成果，更揭示了“两山”理念转化落地的有效路径，具有鲜明的时代性、思想性和现实指导意义。报道视角独特，以对环境有极致要求的“国宝”鸟类为镜，极具说服力地映照出当地生态环境的整体性、系统性改善，兼具科学性、故事性和感染力，以小切口展现了大主题。全文层次清晰，围绕“一江清水邀‘国宝’”“一片青山护生灵”“一方家园得馈赠”层层递进，逻辑严密，从治山理水、显山露水到用活山水，生动展现了鹰潭龙虎山践行习近平生态文明思想的成功探索，为全国其他地区提供了有益借鉴和鹰潭样板。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 xml:space="preserve">  </w:t>
            </w:r>
          </w:p>
          <w:p w14:paraId="473997D5">
            <w:pPr>
              <w:spacing w:line="30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 xml:space="preserve">                               </w:t>
            </w:r>
          </w:p>
          <w:p w14:paraId="53475204">
            <w:pPr>
              <w:spacing w:line="300" w:lineRule="exact"/>
              <w:ind w:firstLine="2142" w:firstLineChars="1050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 w:val="21"/>
                <w:szCs w:val="21"/>
              </w:rPr>
              <w:t>单位主要负责人签名：</w:t>
            </w:r>
            <w:r>
              <w:rPr>
                <w:rFonts w:hint="eastAsia" w:ascii="仿宋" w:hAnsi="仿宋" w:eastAsia="仿宋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（盖单位公章）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 xml:space="preserve"> </w:t>
            </w:r>
          </w:p>
          <w:p w14:paraId="1D7BF438">
            <w:pPr>
              <w:spacing w:line="300" w:lineRule="exact"/>
              <w:ind w:firstLine="6240" w:firstLineChars="3000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2026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日</w:t>
            </w:r>
          </w:p>
        </w:tc>
      </w:tr>
      <w:tr w14:paraId="2C75D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989" w:type="dxa"/>
            <w:gridSpan w:val="2"/>
            <w:vAlign w:val="center"/>
          </w:tcPr>
          <w:p w14:paraId="01AEB1B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作者</w:t>
            </w:r>
          </w:p>
        </w:tc>
        <w:tc>
          <w:tcPr>
            <w:tcW w:w="2713" w:type="dxa"/>
            <w:gridSpan w:val="6"/>
            <w:vAlign w:val="center"/>
          </w:tcPr>
          <w:p w14:paraId="5768F659">
            <w:pPr>
              <w:spacing w:line="300" w:lineRule="exact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周乐丰</w:t>
            </w:r>
          </w:p>
        </w:tc>
        <w:tc>
          <w:tcPr>
            <w:tcW w:w="1200" w:type="dxa"/>
            <w:gridSpan w:val="3"/>
            <w:vAlign w:val="center"/>
          </w:tcPr>
          <w:p w14:paraId="6C996467">
            <w:pPr>
              <w:spacing w:line="300" w:lineRule="exact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729" w:type="dxa"/>
            <w:gridSpan w:val="12"/>
            <w:vAlign w:val="center"/>
          </w:tcPr>
          <w:p w14:paraId="4DF9D49D">
            <w:pPr>
              <w:spacing w:line="3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18170167008</w:t>
            </w:r>
          </w:p>
        </w:tc>
      </w:tr>
    </w:tbl>
    <w:p w14:paraId="5DEF48BA">
      <w:pPr>
        <w:rPr>
          <w:rFonts w:ascii="仿宋" w:hAnsi="仿宋" w:eastAsia="仿宋"/>
        </w:rPr>
      </w:pPr>
    </w:p>
    <w:p w14:paraId="4A2D665B">
      <w:pPr>
        <w:rPr>
          <w:rFonts w:ascii="仿宋" w:hAnsi="仿宋" w:eastAsia="仿宋"/>
        </w:rPr>
      </w:pPr>
    </w:p>
    <w:p w14:paraId="3672AB62">
      <w:pPr>
        <w:jc w:val="center"/>
        <w:rPr>
          <w:rFonts w:ascii="仿宋" w:hAnsi="仿宋" w:eastAsia="仿宋"/>
        </w:rPr>
      </w:pPr>
      <w:r>
        <w:rPr>
          <w:rFonts w:ascii="仿宋" w:hAnsi="仿宋" w:eastAsia="仿宋"/>
        </w:rPr>
        <w:pict>
          <v:shape id="_x0000_i1025" o:spt="75" alt="微信图片_2026-01-13_180934_464" type="#_x0000_t75" style="height:377.25pt;width:415.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 w14:paraId="4F1C9529">
      <w:pPr>
        <w:rPr>
          <w:rFonts w:ascii="仿宋" w:hAnsi="仿宋" w:eastAsia="仿宋"/>
        </w:rPr>
      </w:pPr>
    </w:p>
    <w:p w14:paraId="12C27BA7">
      <w:pPr>
        <w:rPr>
          <w:rFonts w:ascii="仿宋" w:hAnsi="仿宋" w:eastAsia="仿宋"/>
        </w:rPr>
      </w:pPr>
    </w:p>
    <w:p w14:paraId="74460A6A">
      <w:pPr>
        <w:rPr>
          <w:rFonts w:ascii="仿宋" w:hAnsi="仿宋" w:eastAsia="仿宋"/>
        </w:rPr>
      </w:pPr>
    </w:p>
    <w:p w14:paraId="38760509">
      <w:pPr>
        <w:rPr>
          <w:rFonts w:ascii="仿宋" w:hAnsi="仿宋" w:eastAsia="仿宋"/>
        </w:rPr>
      </w:pPr>
    </w:p>
    <w:p w14:paraId="4AC95652">
      <w:pPr>
        <w:rPr>
          <w:rFonts w:ascii="仿宋" w:hAnsi="仿宋" w:eastAsia="仿宋"/>
        </w:rPr>
      </w:pPr>
    </w:p>
    <w:p w14:paraId="2F67D4E6">
      <w:pPr>
        <w:rPr>
          <w:rFonts w:ascii="仿宋" w:hAnsi="仿宋" w:eastAsia="仿宋"/>
        </w:rPr>
      </w:pPr>
    </w:p>
    <w:p w14:paraId="0B22DD4A">
      <w:pPr>
        <w:rPr>
          <w:rFonts w:ascii="仿宋" w:hAnsi="仿宋" w:eastAsia="仿宋"/>
        </w:rPr>
      </w:pPr>
    </w:p>
    <w:p w14:paraId="2E452E6A">
      <w:pPr>
        <w:rPr>
          <w:rFonts w:ascii="仿宋" w:hAnsi="仿宋" w:eastAsia="仿宋"/>
        </w:rPr>
      </w:pPr>
    </w:p>
    <w:p w14:paraId="7FA89691">
      <w:pPr>
        <w:rPr>
          <w:rFonts w:ascii="仿宋" w:hAnsi="仿宋" w:eastAsia="仿宋"/>
        </w:rPr>
      </w:pPr>
    </w:p>
    <w:p w14:paraId="340F5734">
      <w:pPr>
        <w:rPr>
          <w:rFonts w:ascii="仿宋" w:hAnsi="仿宋" w:eastAsia="仿宋"/>
        </w:rPr>
      </w:pPr>
    </w:p>
    <w:p w14:paraId="12EDC581">
      <w:pPr>
        <w:rPr>
          <w:rFonts w:ascii="仿宋" w:hAnsi="仿宋" w:eastAsia="仿宋"/>
        </w:rPr>
      </w:pPr>
    </w:p>
    <w:p w14:paraId="627EB1FC">
      <w:pPr>
        <w:rPr>
          <w:rFonts w:ascii="仿宋" w:hAnsi="仿宋" w:eastAsia="仿宋"/>
        </w:rPr>
      </w:pPr>
    </w:p>
    <w:p w14:paraId="3F7C8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重大主题报道</w:t>
      </w:r>
    </w:p>
    <w:p w14:paraId="3000C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</w:p>
    <w:p w14:paraId="5F95D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“国宝”严选地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风景变“丰”景</w:t>
      </w:r>
    </w:p>
    <w:p w14:paraId="23D9A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作者：陈文革、张俊娟、周乐丰</w:t>
      </w:r>
    </w:p>
    <w:p w14:paraId="68CEC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编辑：郑睦华、王冬梅、蔡江曼</w:t>
      </w:r>
    </w:p>
    <w:p w14:paraId="7F75D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</w:rPr>
      </w:pPr>
    </w:p>
    <w:p w14:paraId="189D4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临近冬至，晨雾如纱，在龙虎山泸溪河中央，几只中华秋沙鸭出现在浅阔的水面上。它们一时跳上石滩梳理羽毛，一时扎入河中潜水捕食，一时又轻踩水面振翅而起，在绿水青山中呈现一派悠然之态。</w:t>
      </w:r>
    </w:p>
    <w:p w14:paraId="00153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几公里外琵琶山上的江西省朱鹮种群重建基地内，冬日的暖阳照进水波潋滟的池塘，几只红脸白衣的朱鹮先后从岸边掠起，展开双翅盘旋数圈，而后轻盈地停留在树梢。</w:t>
      </w:r>
    </w:p>
    <w:p w14:paraId="67810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今年是“绿水青山就是金山银山”的“两山”理念提出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周年。“国宝”严选之地的龙虎山，就如一扇窗口，照见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年来城乡绿色蝶变。</w:t>
      </w:r>
    </w:p>
    <w:p w14:paraId="7116A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那这里又是如何成功实践“两山”理念，让“鸟中大熊猫”中华秋沙鸭连续</w:t>
      </w:r>
      <w:r>
        <w:rPr>
          <w:rFonts w:ascii="仿宋" w:hAnsi="仿宋" w:eastAsia="仿宋"/>
          <w:sz w:val="28"/>
          <w:szCs w:val="28"/>
        </w:rPr>
        <w:t>19</w:t>
      </w:r>
      <w:r>
        <w:rPr>
          <w:rFonts w:hint="eastAsia" w:ascii="仿宋" w:hAnsi="仿宋" w:eastAsia="仿宋"/>
          <w:sz w:val="28"/>
          <w:szCs w:val="28"/>
        </w:rPr>
        <w:t>年常来常往？如何让“东方宝石”朱鹮安然在此野化繁衍？厚实的“绿色家底”又是如何让当地人走上致富之路？</w:t>
      </w:r>
    </w:p>
    <w:p w14:paraId="62327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  <w:r>
        <w:rPr>
          <w:rFonts w:hint="eastAsia" w:ascii="仿宋" w:hAnsi="仿宋" w:eastAsia="仿宋"/>
          <w:b/>
          <w:sz w:val="28"/>
          <w:szCs w:val="28"/>
        </w:rPr>
        <w:t>一江清水邀“国宝”</w:t>
      </w:r>
    </w:p>
    <w:p w14:paraId="4D724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南方冬日的早晨，护林员肖冬样照常扛起相机，沿着泸溪河畔的山道“追着鸭儿跑”，辗转于他设下的几个“大本营”蹲守，等待着可能出现的小精灵们，然后用镜头尽可能地记录下它们的活动。</w:t>
      </w:r>
    </w:p>
    <w:p w14:paraId="4CBCB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它们是会飞的水质检测员。”肖冬样笑着说，跟随记录多年，中华秋沙鸭在哪里出没，有什么生活习性，喜欢捕食哪种鱼类，他都能讲出门道。“它们对栖息环境有着近乎苛刻的要求：水质必须清澈流动，食物必须丰富多样，环境必须安宁无扰。”</w:t>
      </w:r>
    </w:p>
    <w:p w14:paraId="295C0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  <w:r>
        <w:rPr>
          <w:rFonts w:ascii="仿宋" w:hAnsi="仿宋" w:eastAsia="仿宋"/>
          <w:sz w:val="28"/>
          <w:szCs w:val="28"/>
        </w:rPr>
        <w:t>2007</w:t>
      </w:r>
      <w:r>
        <w:rPr>
          <w:rFonts w:hint="eastAsia" w:ascii="仿宋" w:hAnsi="仿宋" w:eastAsia="仿宋"/>
          <w:sz w:val="28"/>
          <w:szCs w:val="28"/>
        </w:rPr>
        <w:t>年，龙虎山首次记录到</w:t>
      </w:r>
      <w:r>
        <w:rPr>
          <w:rFonts w:ascii="仿宋" w:hAnsi="仿宋" w:eastAsia="仿宋"/>
          <w:sz w:val="28"/>
          <w:szCs w:val="28"/>
        </w:rPr>
        <w:t>88</w:t>
      </w:r>
      <w:r>
        <w:rPr>
          <w:rFonts w:hint="eastAsia" w:ascii="仿宋" w:hAnsi="仿宋" w:eastAsia="仿宋"/>
          <w:sz w:val="28"/>
          <w:szCs w:val="28"/>
        </w:rPr>
        <w:t>只中华秋沙鸭前来越冬，引起了鸟类学界的震动。自此，一场持续</w:t>
      </w:r>
      <w:r>
        <w:rPr>
          <w:rFonts w:ascii="仿宋" w:hAnsi="仿宋" w:eastAsia="仿宋"/>
          <w:sz w:val="28"/>
          <w:szCs w:val="28"/>
        </w:rPr>
        <w:t>19</w:t>
      </w:r>
      <w:r>
        <w:rPr>
          <w:rFonts w:hint="eastAsia" w:ascii="仿宋" w:hAnsi="仿宋" w:eastAsia="仿宋"/>
          <w:sz w:val="28"/>
          <w:szCs w:val="28"/>
        </w:rPr>
        <w:t>年的守护之旅悄然启程。</w:t>
      </w:r>
    </w:p>
    <w:p w14:paraId="45B9D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龙虎山景区迅速划定</w:t>
      </w:r>
      <w:r>
        <w:rPr>
          <w:rFonts w:ascii="仿宋" w:hAnsi="仿宋" w:eastAsia="仿宋"/>
          <w:sz w:val="28"/>
          <w:szCs w:val="28"/>
        </w:rPr>
        <w:t>1862</w:t>
      </w:r>
      <w:r>
        <w:rPr>
          <w:rFonts w:hint="eastAsia" w:ascii="仿宋" w:hAnsi="仿宋" w:eastAsia="仿宋"/>
          <w:sz w:val="28"/>
          <w:szCs w:val="28"/>
        </w:rPr>
        <w:t>公顷的中华秋沙鸭自然保护区，核心水域严禁捕捞、采砂与施工。每年夏季，数十万尾鱼苗被放入泸溪河，既维护水生生态平衡，也为越冬候鸟储备丰盛“口粮”。护林队、护渔队等先后成立，日复一日开展徒步巡查。同时，设置智慧监管等措施，加强野生动物现状监测。</w:t>
      </w:r>
    </w:p>
    <w:p w14:paraId="17727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年来，周边群众自觉守护绿水青山、爱护珍稀动物的意识更强了，保护区内没发生过一起伤害鸟类的事件，没发生过一起破坏生态环境的案件。村民救助受伤凤头鹰，游客为脱臼小鸟接骨，铁路员工护送雕鸮就医……爱鸟护鸟已经成为当地群众的共识共举。</w:t>
      </w:r>
    </w:p>
    <w:p w14:paraId="406AF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一江清水准备“到位”，中华秋沙鸭准时“就位”。如今，每年来此越冬的中华秋沙鸭稳定超过</w:t>
      </w:r>
      <w:r>
        <w:rPr>
          <w:rFonts w:ascii="仿宋" w:hAnsi="仿宋" w:eastAsia="仿宋"/>
          <w:sz w:val="28"/>
          <w:szCs w:val="28"/>
        </w:rPr>
        <w:t>80</w:t>
      </w:r>
      <w:r>
        <w:rPr>
          <w:rFonts w:hint="eastAsia" w:ascii="仿宋" w:hAnsi="仿宋" w:eastAsia="仿宋"/>
          <w:sz w:val="28"/>
          <w:szCs w:val="28"/>
        </w:rPr>
        <w:t>只，最多时上百只同框嬉戏。同时，中华秋沙鸭的栖息地范围还在不断扩大，余江区白塔河、贵溪市耳口乡、江西阳际峰国家级自然保护区等地都发现它们的身影。</w:t>
      </w:r>
    </w:p>
    <w:p w14:paraId="1D523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  <w:r>
        <w:rPr>
          <w:rFonts w:hint="eastAsia" w:ascii="仿宋" w:hAnsi="仿宋" w:eastAsia="仿宋"/>
          <w:b/>
          <w:sz w:val="28"/>
          <w:szCs w:val="28"/>
        </w:rPr>
        <w:t>一片青山护生灵</w:t>
      </w:r>
    </w:p>
    <w:p w14:paraId="0B4D4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朱鹮因其优雅的体态和独特的朱红色羽毛而极具观赏性。进入</w:t>
      </w: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月，江西省朱鹮种群重建基地里的几只朱鹮开始有了一些新变化。护鸟员肖天祥娓娓道来：“看，它们的头部和背部颜色转为铅灰色，这表明它们开始进入繁殖期。”</w:t>
      </w:r>
    </w:p>
    <w:p w14:paraId="5B78A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  <w:r>
        <w:rPr>
          <w:rFonts w:ascii="仿宋" w:hAnsi="仿宋" w:eastAsia="仿宋"/>
          <w:sz w:val="28"/>
          <w:szCs w:val="28"/>
        </w:rPr>
        <w:t>2023</w:t>
      </w:r>
      <w:r>
        <w:rPr>
          <w:rFonts w:hint="eastAsia" w:ascii="仿宋" w:hAnsi="仿宋" w:eastAsia="仿宋"/>
          <w:sz w:val="28"/>
          <w:szCs w:val="28"/>
        </w:rPr>
        <w:t>年，国家林草局批准从陕西汉中朱鹮国家级自然保护区引入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只朱鹮到龙虎山，开展朱鹮的野化放飞实验研究，看中的就是这里的“大环境”。龙虎山森林覆盖率极高，负氧离子峰值可达每立方厘米</w:t>
      </w:r>
      <w:r>
        <w:rPr>
          <w:rFonts w:ascii="仿宋" w:hAnsi="仿宋" w:eastAsia="仿宋"/>
          <w:sz w:val="28"/>
          <w:szCs w:val="28"/>
        </w:rPr>
        <w:t>3.1</w:t>
      </w:r>
      <w:r>
        <w:rPr>
          <w:rFonts w:hint="eastAsia" w:ascii="仿宋" w:hAnsi="仿宋" w:eastAsia="仿宋"/>
          <w:sz w:val="28"/>
          <w:szCs w:val="28"/>
        </w:rPr>
        <w:t>万个，是一座名副其实的“天然氧吧”。高大的乔木、繁密的灌木、丰茂的草本层层叠叠，为不同习性的鸟类提供了多样化的栖息选择。</w:t>
      </w:r>
    </w:p>
    <w:p w14:paraId="2F68E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同时，龙虎山景区还投入了</w:t>
      </w:r>
      <w:r>
        <w:rPr>
          <w:rFonts w:ascii="仿宋" w:hAnsi="仿宋" w:eastAsia="仿宋"/>
          <w:sz w:val="28"/>
          <w:szCs w:val="28"/>
        </w:rPr>
        <w:t>600</w:t>
      </w:r>
      <w:r>
        <w:rPr>
          <w:rFonts w:hint="eastAsia" w:ascii="仿宋" w:hAnsi="仿宋" w:eastAsia="仿宋"/>
          <w:sz w:val="28"/>
          <w:szCs w:val="28"/>
        </w:rPr>
        <w:t>多万元建设了江西省朱鹮种群重建基地，建好“小环境”。网笼外流转了</w:t>
      </w:r>
      <w:r>
        <w:rPr>
          <w:rFonts w:ascii="仿宋" w:hAnsi="仿宋" w:eastAsia="仿宋"/>
          <w:sz w:val="28"/>
          <w:szCs w:val="28"/>
        </w:rPr>
        <w:t>100</w:t>
      </w:r>
      <w:r>
        <w:rPr>
          <w:rFonts w:hint="eastAsia" w:ascii="仿宋" w:hAnsi="仿宋" w:eastAsia="仿宋"/>
          <w:sz w:val="28"/>
          <w:szCs w:val="28"/>
        </w:rPr>
        <w:t>多亩稻田，采用人工插秧、不施药肥的方式种植了水稻，增殖放流了泥鳅、黄鳝等鱼类，为今后朱鹮野化放归创造适宜条件。</w:t>
      </w:r>
    </w:p>
    <w:p w14:paraId="2FB35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近些年，黑鹳、凤头</w:t>
      </w:r>
      <w:r>
        <w:rPr>
          <w:rFonts w:ascii="仿宋" w:hAnsi="仿宋" w:eastAsia="仿宋"/>
          <w:sz w:val="28"/>
          <w:szCs w:val="28"/>
        </w:rPr>
        <w:t>??</w:t>
      </w:r>
      <w:r>
        <w:rPr>
          <w:rFonts w:hint="eastAsia" w:ascii="仿宋" w:hAnsi="仿宋" w:eastAsia="仿宋"/>
          <w:sz w:val="28"/>
          <w:szCs w:val="28"/>
        </w:rPr>
        <w:t>、长尾鸭等珍稀鸟类相继“打卡”龙虎山，白腹隼雕、赤腹鹰、雕鸮等猛禽频频现身；四角刻叶菱、福建观音座莲、八角莲等物种陆续被发现记录。通过科学抚育、生物防治与严格防火，这里成为留鸟安居、候鸟中转的“生命驿站”。</w:t>
      </w:r>
    </w:p>
    <w:p w14:paraId="09C42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森林的层次越丰富，鸟类的选择就越多。”龙虎山景区林业局二级主任科员宁志刚说，南方红豆杉、古樟、银杏等古树伫立山间，成为鸟类栖息的乐园。丰富的昆虫、果实与种子，又为鸟类提供了丰富的食物来源。</w:t>
      </w:r>
    </w:p>
    <w:p w14:paraId="34DEC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  <w:r>
        <w:rPr>
          <w:rFonts w:hint="eastAsia" w:ascii="仿宋" w:hAnsi="仿宋" w:eastAsia="仿宋"/>
          <w:b/>
          <w:sz w:val="28"/>
          <w:szCs w:val="28"/>
        </w:rPr>
        <w:t>一方家园得馈赠</w:t>
      </w:r>
    </w:p>
    <w:p w14:paraId="793B3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然而更让人称奇的是，这片绿水青山，从未远离人间烟火。当地群众在保护生态中，得到了自然的馈赠。</w:t>
      </w:r>
    </w:p>
    <w:p w14:paraId="009D2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一大早，龙虎山景区上清镇泥湾村村民孔金根急着赶往中草药种植基地，去查看植株生长情况。</w:t>
      </w:r>
      <w:r>
        <w:rPr>
          <w:rFonts w:ascii="仿宋" w:hAnsi="仿宋" w:eastAsia="仿宋"/>
          <w:sz w:val="28"/>
          <w:szCs w:val="28"/>
        </w:rPr>
        <w:t>2020</w:t>
      </w:r>
      <w:r>
        <w:rPr>
          <w:rFonts w:hint="eastAsia" w:ascii="仿宋" w:hAnsi="仿宋" w:eastAsia="仿宋"/>
          <w:sz w:val="28"/>
          <w:szCs w:val="28"/>
        </w:rPr>
        <w:t>年，一家中草药种植企业看中龙虎山的环境，从泥湾村流转了几百亩林地，种植了三叶青、黄精等中草药。“不仅可以收租金，每月做工还有</w:t>
      </w:r>
      <w:r>
        <w:rPr>
          <w:rFonts w:ascii="仿宋" w:hAnsi="仿宋" w:eastAsia="仿宋"/>
          <w:sz w:val="28"/>
          <w:szCs w:val="28"/>
        </w:rPr>
        <w:t>4000</w:t>
      </w:r>
      <w:r>
        <w:rPr>
          <w:rFonts w:hint="eastAsia" w:ascii="仿宋" w:hAnsi="仿宋" w:eastAsia="仿宋"/>
          <w:sz w:val="28"/>
          <w:szCs w:val="28"/>
        </w:rPr>
        <w:t>多元的收入，真的是‘林下生金’。”孔金根感慨地说。</w:t>
      </w:r>
    </w:p>
    <w:p w14:paraId="7E295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而另一边，上清镇沙湾村圣井溪畔露营基地里，一家鸟语花香环绕又文艺范十足的“村咖”成为新晋“网红”打卡点，吸引了不少市民游客前来。“可以休闲、放空，可以溯溪、露营，基地周边有民宿、有农家乐、有娱乐设施，平均每天要接待上千人。”沙湾村党支部书记吴建波介绍。</w:t>
      </w:r>
    </w:p>
    <w:p w14:paraId="426AA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绿水青山间，长出生态农业，让土特产变成热销香饽饽。铁皮石斛、有机茶叶、生态水稻等特色农业蓬勃发展，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个绿色有机产品获得认证。政府通过补贴鼓励生态种植，减少化肥农药，让农田也成为鸟类的“食堂”。村民从“靠山吃山”，转变为“护山养山”。</w:t>
      </w:r>
    </w:p>
    <w:p w14:paraId="5A394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绿水青山间，育起生态旅游，让好风景变成好“丰”景。“中国中华秋沙鸭之乡”、丹山碧水生态品牌声名远播，引得游人纷至沓来，“春赏花、夏避暑、秋风情、冬康养”的生态旅游常看常新，生态型科普研学、自然教育和度假旅游产品持续火爆。每到假日，龙虎山民宿更是“一房难求”，周边的餐饮店、农家乐人气也是“水涨船高”。</w:t>
      </w:r>
    </w:p>
    <w:p w14:paraId="3DEBD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夕阳西下，远山如黛，飞鸟归林。这幅“山水相依、人鸟共乐”的画卷，正是龙虎山守护绿水青山最动人的答卷。</w:t>
      </w:r>
    </w:p>
    <w:p w14:paraId="7F7DC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“让龙虎山永远成为它们愿意来、喜欢待、能够安心繁衍的乐土。”肖冬样望着漫天飞鸟，轻轻说道。</w:t>
      </w:r>
    </w:p>
    <w:p w14:paraId="0C526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“我们是真正的受益者。”泸溪河上的老艄公笑着对游客说，“这好山好水，让我们端起了‘金饭碗’。”</w:t>
      </w:r>
    </w:p>
    <w:p w14:paraId="5CCA2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每一片羽翼的振响，都是生态的回音；每一抹青山的苍翠，都是时间的馈赠。龙虎山用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年的持之以恒，诠释了保护与发展不是单向选择，而可以是“双向奔赴”：当人类以真心守护自然，自然终将以最丰盈的生命力，回报这片土地。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　</w:t>
      </w: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428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39"/>
  <w:drawingGridVerticalSpacing w:val="214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g5MTJiNThlZjQ3NzQxNWJmMjFkMTgzYjE0ZjEwMTUifQ=="/>
  </w:docVars>
  <w:rsids>
    <w:rsidRoot w:val="00926BC2"/>
    <w:rsid w:val="00003DD9"/>
    <w:rsid w:val="000305E6"/>
    <w:rsid w:val="000C3809"/>
    <w:rsid w:val="000C68FB"/>
    <w:rsid w:val="000E643B"/>
    <w:rsid w:val="00123704"/>
    <w:rsid w:val="00133337"/>
    <w:rsid w:val="00133BCD"/>
    <w:rsid w:val="001421C1"/>
    <w:rsid w:val="001440A6"/>
    <w:rsid w:val="00144DF0"/>
    <w:rsid w:val="0019242E"/>
    <w:rsid w:val="001D0E22"/>
    <w:rsid w:val="002001CC"/>
    <w:rsid w:val="00223BBC"/>
    <w:rsid w:val="0024458D"/>
    <w:rsid w:val="002606C4"/>
    <w:rsid w:val="0026283A"/>
    <w:rsid w:val="002E0AD9"/>
    <w:rsid w:val="003371B0"/>
    <w:rsid w:val="0034035D"/>
    <w:rsid w:val="00346993"/>
    <w:rsid w:val="00365323"/>
    <w:rsid w:val="00367921"/>
    <w:rsid w:val="00395F8B"/>
    <w:rsid w:val="003A7D88"/>
    <w:rsid w:val="003B19AA"/>
    <w:rsid w:val="00403B28"/>
    <w:rsid w:val="0040653C"/>
    <w:rsid w:val="00410ED4"/>
    <w:rsid w:val="00433816"/>
    <w:rsid w:val="00441C13"/>
    <w:rsid w:val="004C1ED1"/>
    <w:rsid w:val="004C3515"/>
    <w:rsid w:val="004F21DB"/>
    <w:rsid w:val="00517997"/>
    <w:rsid w:val="00534FCA"/>
    <w:rsid w:val="0054736E"/>
    <w:rsid w:val="0056711F"/>
    <w:rsid w:val="005937B0"/>
    <w:rsid w:val="005D1989"/>
    <w:rsid w:val="005D49D3"/>
    <w:rsid w:val="0064022F"/>
    <w:rsid w:val="0064261E"/>
    <w:rsid w:val="006676E9"/>
    <w:rsid w:val="006933E8"/>
    <w:rsid w:val="006B0AE1"/>
    <w:rsid w:val="007050B1"/>
    <w:rsid w:val="007073E0"/>
    <w:rsid w:val="0074332E"/>
    <w:rsid w:val="00775798"/>
    <w:rsid w:val="0079161A"/>
    <w:rsid w:val="007C77C7"/>
    <w:rsid w:val="008935AB"/>
    <w:rsid w:val="008C03FE"/>
    <w:rsid w:val="00926BC2"/>
    <w:rsid w:val="00926E57"/>
    <w:rsid w:val="0092769C"/>
    <w:rsid w:val="009367BD"/>
    <w:rsid w:val="009677C3"/>
    <w:rsid w:val="009A23C7"/>
    <w:rsid w:val="009D6149"/>
    <w:rsid w:val="009F3058"/>
    <w:rsid w:val="00A710FD"/>
    <w:rsid w:val="00AC1BA9"/>
    <w:rsid w:val="00AC5FC0"/>
    <w:rsid w:val="00AF5725"/>
    <w:rsid w:val="00B168B6"/>
    <w:rsid w:val="00B30C0D"/>
    <w:rsid w:val="00BA51D5"/>
    <w:rsid w:val="00BA609F"/>
    <w:rsid w:val="00BB3A4F"/>
    <w:rsid w:val="00BB6173"/>
    <w:rsid w:val="00BD466A"/>
    <w:rsid w:val="00BD5D7F"/>
    <w:rsid w:val="00BE5B19"/>
    <w:rsid w:val="00C05584"/>
    <w:rsid w:val="00C55055"/>
    <w:rsid w:val="00C738E3"/>
    <w:rsid w:val="00C86CF1"/>
    <w:rsid w:val="00CA60E0"/>
    <w:rsid w:val="00D64361"/>
    <w:rsid w:val="00D67E4E"/>
    <w:rsid w:val="00D90026"/>
    <w:rsid w:val="00D978B7"/>
    <w:rsid w:val="00D97A32"/>
    <w:rsid w:val="00DA19CA"/>
    <w:rsid w:val="00DB7EB4"/>
    <w:rsid w:val="00E115C5"/>
    <w:rsid w:val="00E15627"/>
    <w:rsid w:val="00E2305B"/>
    <w:rsid w:val="00E807F5"/>
    <w:rsid w:val="00E82F0E"/>
    <w:rsid w:val="00EA235C"/>
    <w:rsid w:val="00EA4751"/>
    <w:rsid w:val="00EA5207"/>
    <w:rsid w:val="00EC1A77"/>
    <w:rsid w:val="00EE467F"/>
    <w:rsid w:val="00EF36AF"/>
    <w:rsid w:val="00F23A0A"/>
    <w:rsid w:val="00F52080"/>
    <w:rsid w:val="00F537D4"/>
    <w:rsid w:val="00F542F7"/>
    <w:rsid w:val="00F56869"/>
    <w:rsid w:val="00F82FC3"/>
    <w:rsid w:val="00F94E52"/>
    <w:rsid w:val="00FA0BC0"/>
    <w:rsid w:val="00FC2EEE"/>
    <w:rsid w:val="00FD48DE"/>
    <w:rsid w:val="00FD7C8E"/>
    <w:rsid w:val="00FF0F1A"/>
    <w:rsid w:val="00FF76E5"/>
    <w:rsid w:val="03C318C8"/>
    <w:rsid w:val="23D4161A"/>
    <w:rsid w:val="37FE6A49"/>
    <w:rsid w:val="385B1233"/>
    <w:rsid w:val="43C266D2"/>
    <w:rsid w:val="449556E6"/>
    <w:rsid w:val="490C793D"/>
    <w:rsid w:val="6FC84A20"/>
    <w:rsid w:val="77610349"/>
    <w:rsid w:val="7EEDE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3361</Words>
  <Characters>3563</Characters>
  <Lines>0</Lines>
  <Paragraphs>0</Paragraphs>
  <TotalTime>1</TotalTime>
  <ScaleCrop>false</ScaleCrop>
  <LinksUpToDate>false</LinksUpToDate>
  <CharactersWithSpaces>3671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2024-01-22T15:11:00Z</dcterms:created>
  <dc:creator>听 林</dc:creator>
  <cp:lastModifiedBy>牧风</cp:lastModifiedBy>
  <cp:lastPrinted>2025-01-16T16:31:00Z</cp:lastPrinted>
  <dcterms:modified xsi:type="dcterms:W3CDTF">2026-01-18T09:01:30Z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eyJoZGlkIjoiMGQ1NzBhNzEzMzI3N2ZjOWU0YmEwZDk5NmZkMTkyYTMiLCJ1c2VySWQiOiIzMDc2NzE1OTcifQ==</vt:lpwstr>
  </property>
  <property fmtid="{D5CDD505-2E9C-101B-9397-08002B2CF9AE}" pid="3" name="KSOProductBuildVer">
    <vt:lpwstr>2052-12.8.2.1115</vt:lpwstr>
  </property>
  <property fmtid="{D5CDD505-2E9C-101B-9397-08002B2CF9AE}" pid="4" name="ICV">
    <vt:lpwstr>92AD68DA4E25458F9F9BB9AFA9595765_12</vt:lpwstr>
  </property>
</Properties>
</file>